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采购需求</w:t>
      </w:r>
    </w:p>
    <w:p>
      <w:pPr>
        <w:snapToGrid w:val="0"/>
        <w:spacing w:line="360" w:lineRule="exact"/>
        <w:rPr>
          <w:rFonts w:hint="eastAsia" w:ascii="宋体" w:hAnsi="宋体" w:cs="宋体"/>
          <w:b/>
          <w:bCs/>
          <w:color w:val="auto"/>
          <w:spacing w:val="-6"/>
          <w:sz w:val="22"/>
          <w:szCs w:val="22"/>
          <w:highlight w:val="none"/>
        </w:rPr>
      </w:pPr>
      <w:r>
        <w:rPr>
          <w:rFonts w:hint="eastAsia" w:ascii="宋体" w:hAnsi="宋体" w:cs="宋体"/>
          <w:b/>
          <w:bCs/>
          <w:color w:val="auto"/>
          <w:spacing w:val="-6"/>
          <w:sz w:val="22"/>
          <w:szCs w:val="22"/>
          <w:highlight w:val="none"/>
        </w:rPr>
        <w:t>一、采购内容及数量</w:t>
      </w:r>
    </w:p>
    <w:tbl>
      <w:tblPr>
        <w:tblStyle w:val="10"/>
        <w:tblW w:w="0" w:type="auto"/>
        <w:jc w:val="center"/>
        <w:tblLayout w:type="fixed"/>
        <w:tblCellMar>
          <w:top w:w="0" w:type="dxa"/>
          <w:left w:w="108" w:type="dxa"/>
          <w:bottom w:w="0" w:type="dxa"/>
          <w:right w:w="108" w:type="dxa"/>
        </w:tblCellMar>
      </w:tblPr>
      <w:tblGrid>
        <w:gridCol w:w="1038"/>
        <w:gridCol w:w="3059"/>
        <w:gridCol w:w="1701"/>
        <w:gridCol w:w="1403"/>
        <w:gridCol w:w="2125"/>
      </w:tblGrid>
      <w:tr>
        <w:tblPrEx>
          <w:tblCellMar>
            <w:top w:w="0" w:type="dxa"/>
            <w:left w:w="108" w:type="dxa"/>
            <w:bottom w:w="0" w:type="dxa"/>
            <w:right w:w="108" w:type="dxa"/>
          </w:tblCellMar>
        </w:tblPrEx>
        <w:trPr>
          <w:trHeight w:val="90" w:hRule="atLeast"/>
          <w:jc w:val="center"/>
        </w:trPr>
        <w:tc>
          <w:tcPr>
            <w:tcW w:w="10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序号</w:t>
            </w:r>
          </w:p>
        </w:tc>
        <w:tc>
          <w:tcPr>
            <w:tcW w:w="305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项目内容</w:t>
            </w:r>
          </w:p>
        </w:tc>
        <w:tc>
          <w:tcPr>
            <w:tcW w:w="17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数量 </w:t>
            </w:r>
          </w:p>
        </w:tc>
        <w:tc>
          <w:tcPr>
            <w:tcW w:w="1403"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预算金额(元)</w:t>
            </w:r>
          </w:p>
        </w:tc>
        <w:tc>
          <w:tcPr>
            <w:tcW w:w="2125"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备注</w:t>
            </w:r>
          </w:p>
        </w:tc>
      </w:tr>
      <w:tr>
        <w:tblPrEx>
          <w:tblCellMar>
            <w:top w:w="0" w:type="dxa"/>
            <w:left w:w="108" w:type="dxa"/>
            <w:bottom w:w="0" w:type="dxa"/>
            <w:right w:w="108" w:type="dxa"/>
          </w:tblCellMar>
        </w:tblPrEx>
        <w:trPr>
          <w:trHeight w:val="709" w:hRule="atLeast"/>
          <w:jc w:val="center"/>
        </w:trPr>
        <w:tc>
          <w:tcPr>
            <w:tcW w:w="10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1</w:t>
            </w:r>
          </w:p>
        </w:tc>
        <w:tc>
          <w:tcPr>
            <w:tcW w:w="305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eastAsia="zh-CN"/>
              </w:rPr>
              <w:t>蒋家桥校区电教三LED屏</w:t>
            </w:r>
          </w:p>
        </w:tc>
        <w:tc>
          <w:tcPr>
            <w:tcW w:w="17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pacing w:line="340" w:lineRule="exact"/>
              <w:jc w:val="center"/>
              <w:rPr>
                <w:rFonts w:hint="eastAsia" w:ascii="宋体" w:hAnsi="宋体" w:cs="宋体"/>
                <w:color w:val="auto"/>
                <w:sz w:val="22"/>
                <w:szCs w:val="22"/>
                <w:highlight w:val="none"/>
              </w:rPr>
            </w:pPr>
            <w:r>
              <w:rPr>
                <w:rFonts w:hint="eastAsia" w:ascii="宋体" w:hAnsi="宋体" w:cs="宋体"/>
                <w:bCs/>
                <w:color w:val="auto"/>
                <w:kern w:val="0"/>
                <w:sz w:val="22"/>
                <w:highlight w:val="none"/>
              </w:rPr>
              <w:t xml:space="preserve">1批 </w:t>
            </w:r>
          </w:p>
        </w:tc>
        <w:tc>
          <w:tcPr>
            <w:tcW w:w="1403"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eastAsia="zh-CN"/>
              </w:rPr>
              <w:t>134000.00</w:t>
            </w:r>
          </w:p>
        </w:tc>
        <w:tc>
          <w:tcPr>
            <w:tcW w:w="2125" w:type="dxa"/>
            <w:tcBorders>
              <w:top w:val="single" w:color="000000" w:sz="4" w:space="0"/>
              <w:left w:val="single" w:color="auto" w:sz="4" w:space="0"/>
              <w:bottom w:val="single" w:color="000000" w:sz="4" w:space="0"/>
              <w:right w:val="single" w:color="auto" w:sz="4" w:space="0"/>
            </w:tcBorders>
            <w:noWrap w:val="0"/>
            <w:tcMar>
              <w:top w:w="0" w:type="dxa"/>
              <w:left w:w="108" w:type="dxa"/>
              <w:bottom w:w="0" w:type="dxa"/>
              <w:right w:w="108" w:type="dxa"/>
            </w:tcMar>
            <w:vAlign w:val="center"/>
          </w:tcPr>
          <w:p>
            <w:pPr>
              <w:spacing w:line="370" w:lineRule="exact"/>
              <w:jc w:val="center"/>
              <w:rPr>
                <w:rFonts w:hint="eastAsia" w:ascii="宋体" w:hAnsi="宋体" w:cs="宋体"/>
                <w:color w:val="auto"/>
                <w:sz w:val="22"/>
                <w:szCs w:val="22"/>
                <w:highlight w:val="none"/>
              </w:rPr>
            </w:pPr>
            <w:r>
              <w:rPr>
                <w:rFonts w:hint="eastAsia" w:ascii="宋体" w:hAnsi="宋体" w:cs="宋体"/>
                <w:color w:val="auto"/>
                <w:kern w:val="0"/>
                <w:sz w:val="22"/>
                <w:szCs w:val="22"/>
                <w:highlight w:val="none"/>
              </w:rPr>
              <w:t xml:space="preserve"> </w:t>
            </w:r>
          </w:p>
        </w:tc>
      </w:tr>
    </w:tbl>
    <w:p>
      <w:pPr>
        <w:snapToGrid w:val="0"/>
        <w:spacing w:line="360" w:lineRule="exact"/>
        <w:outlineLvl w:val="0"/>
        <w:rPr>
          <w:rFonts w:hint="eastAsia" w:ascii="宋体" w:hAnsi="宋体" w:cs="宋体"/>
          <w:b/>
          <w:color w:val="auto"/>
          <w:spacing w:val="-6"/>
          <w:sz w:val="22"/>
          <w:szCs w:val="22"/>
          <w:highlight w:val="none"/>
        </w:rPr>
      </w:pPr>
      <w:r>
        <w:rPr>
          <w:rFonts w:hint="eastAsia" w:ascii="宋体" w:hAnsi="宋体" w:cs="宋体"/>
          <w:b/>
          <w:bCs/>
          <w:color w:val="auto"/>
          <w:kern w:val="0"/>
          <w:sz w:val="22"/>
          <w:szCs w:val="22"/>
          <w:highlight w:val="none"/>
        </w:rPr>
        <w:t>二、</w:t>
      </w:r>
      <w:r>
        <w:rPr>
          <w:rFonts w:hint="eastAsia" w:ascii="宋体" w:hAnsi="宋体" w:cs="宋体"/>
          <w:b/>
          <w:color w:val="auto"/>
          <w:spacing w:val="-6"/>
          <w:sz w:val="22"/>
          <w:szCs w:val="22"/>
          <w:highlight w:val="none"/>
        </w:rPr>
        <w:t>商务要求（技术要求里另有注明的以技术要求为准）</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1"/>
        <w:gridCol w:w="8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color w:val="auto"/>
                <w:sz w:val="22"/>
                <w:szCs w:val="22"/>
                <w:highlight w:val="none"/>
              </w:rPr>
            </w:pPr>
            <w:r>
              <w:rPr>
                <w:rFonts w:ascii="宋体" w:hAnsi="宋体" w:cs="宋体"/>
                <w:color w:val="auto"/>
                <w:kern w:val="0"/>
                <w:sz w:val="22"/>
                <w:szCs w:val="22"/>
                <w:highlight w:val="none"/>
                <w:u w:val="single"/>
              </w:rPr>
              <w:t>▲</w:t>
            </w:r>
            <w:r>
              <w:rPr>
                <w:rFonts w:hint="eastAsia" w:ascii="宋体" w:hAnsi="宋体" w:cs="宋体"/>
                <w:color w:val="auto"/>
                <w:sz w:val="22"/>
                <w:szCs w:val="22"/>
                <w:highlight w:val="none"/>
                <w:u w:val="single"/>
              </w:rPr>
              <w:t>付款条件</w:t>
            </w:r>
          </w:p>
        </w:tc>
        <w:tc>
          <w:tcPr>
            <w:tcW w:w="8080"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color w:val="auto"/>
                <w:sz w:val="22"/>
                <w:szCs w:val="22"/>
                <w:highlight w:val="none"/>
              </w:rPr>
            </w:pPr>
            <w:r>
              <w:rPr>
                <w:rFonts w:hint="eastAsia" w:ascii="宋体" w:hAnsi="宋体" w:cs="宋体"/>
                <w:color w:val="auto"/>
                <w:sz w:val="22"/>
                <w:szCs w:val="22"/>
                <w:highlight w:val="none"/>
                <w:u w:val="single"/>
              </w:rPr>
              <w:t>本合同签订后卖方向买方支付合同价款的5%作为履约保证金；卖方完成全部供货及安装、调试、培训并通过买方验收，买方入库报销后15个工作日内，买方向卖方支付100%合同价款（卖方必须先开具合同金额100%的正式</w:t>
            </w:r>
            <w:r>
              <w:rPr>
                <w:rFonts w:hint="eastAsia" w:ascii="宋体" w:hAnsi="宋体" w:cs="宋体"/>
                <w:color w:val="auto"/>
                <w:sz w:val="22"/>
                <w:szCs w:val="22"/>
                <w:highlight w:val="none"/>
                <w:u w:val="single"/>
                <w:lang w:eastAsia="zh-CN"/>
              </w:rPr>
              <w:t>增值税专用</w:t>
            </w:r>
            <w:r>
              <w:rPr>
                <w:rFonts w:hint="eastAsia" w:ascii="宋体" w:hAnsi="宋体" w:cs="宋体"/>
                <w:color w:val="auto"/>
                <w:sz w:val="22"/>
                <w:szCs w:val="22"/>
                <w:highlight w:val="none"/>
                <w:u w:val="single"/>
              </w:rPr>
              <w:t>发票）；履约保证金自验收合格之日，一年后无质量问题，资产管理处收到使用部门填写的验收单后7个工作日内</w:t>
            </w:r>
            <w:r>
              <w:rPr>
                <w:rFonts w:hint="eastAsia" w:ascii="宋体" w:hAnsi="宋体" w:cs="宋体"/>
                <w:color w:val="auto"/>
                <w:sz w:val="22"/>
                <w:szCs w:val="22"/>
                <w:highlight w:val="none"/>
                <w:u w:val="single"/>
                <w:lang w:eastAsia="zh-CN"/>
              </w:rPr>
              <w:t>无息退还</w:t>
            </w:r>
            <w:r>
              <w:rPr>
                <w:rFonts w:hint="eastAsia" w:ascii="宋体" w:hAnsi="宋体" w:cs="宋体"/>
                <w:color w:val="auto"/>
                <w:sz w:val="22"/>
                <w:szCs w:val="22"/>
                <w:highlight w:val="none"/>
                <w:u w:val="singl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质保期</w:t>
            </w:r>
          </w:p>
        </w:tc>
        <w:tc>
          <w:tcPr>
            <w:tcW w:w="8080"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val="en-US" w:eastAsia="zh-CN"/>
              </w:rPr>
              <w:t>3</w:t>
            </w:r>
            <w:r>
              <w:rPr>
                <w:rFonts w:hint="eastAsia" w:ascii="宋体" w:hAnsi="宋体" w:cs="宋体"/>
                <w:color w:val="auto"/>
                <w:sz w:val="22"/>
                <w:szCs w:val="22"/>
                <w:highlight w:val="none"/>
                <w:lang w:eastAsia="zh-CN"/>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交付时间</w:t>
            </w:r>
          </w:p>
        </w:tc>
        <w:tc>
          <w:tcPr>
            <w:tcW w:w="8080"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default" w:ascii="宋体" w:hAnsi="宋体" w:eastAsia="宋体" w:cs="宋体"/>
                <w:bCs/>
                <w:color w:val="auto"/>
                <w:kern w:val="0"/>
                <w:sz w:val="22"/>
                <w:highlight w:val="none"/>
                <w:lang w:val="en-US" w:eastAsia="zh-CN"/>
              </w:rPr>
            </w:pPr>
            <w:r>
              <w:rPr>
                <w:rFonts w:hint="eastAsia" w:ascii="宋体" w:hAnsi="宋体" w:cs="宋体"/>
                <w:bCs/>
                <w:color w:val="auto"/>
                <w:kern w:val="0"/>
                <w:sz w:val="22"/>
                <w:highlight w:val="none"/>
                <w:lang w:val="en-US" w:eastAsia="zh-CN"/>
              </w:rPr>
              <w:t>接到通知后3个工作日内送至指定地点。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交付地点</w:t>
            </w:r>
          </w:p>
        </w:tc>
        <w:tc>
          <w:tcPr>
            <w:tcW w:w="8080" w:type="dxa"/>
            <w:tcBorders>
              <w:top w:val="single" w:color="auto" w:sz="4" w:space="0"/>
              <w:left w:val="single" w:color="auto" w:sz="4" w:space="0"/>
              <w:bottom w:val="single" w:color="auto" w:sz="4" w:space="0"/>
              <w:right w:val="single" w:color="auto" w:sz="4" w:space="0"/>
            </w:tcBorders>
            <w:noWrap w:val="0"/>
            <w:vAlign w:val="center"/>
          </w:tcPr>
          <w:p>
            <w:pPr>
              <w:spacing w:line="288" w:lineRule="auto"/>
              <w:jc w:val="left"/>
              <w:rPr>
                <w:rFonts w:hint="eastAsia" w:ascii="宋体" w:hAnsi="宋体" w:cs="宋体"/>
                <w:bCs/>
                <w:color w:val="auto"/>
                <w:kern w:val="0"/>
                <w:sz w:val="22"/>
                <w:highlight w:val="none"/>
              </w:rPr>
            </w:pPr>
            <w:r>
              <w:rPr>
                <w:rFonts w:hint="eastAsia" w:ascii="宋体" w:hAnsi="宋体" w:cs="宋体"/>
                <w:color w:val="auto"/>
                <w:sz w:val="22"/>
                <w:szCs w:val="22"/>
                <w:highlight w:val="none"/>
              </w:rPr>
              <w:t>温州职业技术学院指定地点。</w:t>
            </w:r>
          </w:p>
        </w:tc>
      </w:tr>
    </w:tbl>
    <w:p>
      <w:pPr>
        <w:numPr>
          <w:ilvl w:val="0"/>
          <w:numId w:val="1"/>
        </w:numPr>
        <w:snapToGrid w:val="0"/>
        <w:spacing w:line="360" w:lineRule="exact"/>
        <w:rPr>
          <w:rFonts w:hint="eastAsia" w:ascii="宋体" w:hAnsi="宋体" w:cs="宋体"/>
          <w:b/>
          <w:bCs/>
          <w:color w:val="auto"/>
          <w:spacing w:val="-6"/>
          <w:sz w:val="22"/>
          <w:szCs w:val="22"/>
          <w:highlight w:val="none"/>
        </w:rPr>
      </w:pPr>
      <w:r>
        <w:rPr>
          <w:rFonts w:hint="eastAsia" w:ascii="宋体" w:hAnsi="宋体" w:cs="宋体"/>
          <w:b/>
          <w:bCs/>
          <w:color w:val="auto"/>
          <w:spacing w:val="-6"/>
          <w:sz w:val="22"/>
          <w:szCs w:val="22"/>
          <w:highlight w:val="none"/>
        </w:rPr>
        <w:t>技术要求</w:t>
      </w:r>
    </w:p>
    <w:tbl>
      <w:tblPr>
        <w:tblStyle w:val="10"/>
        <w:tblW w:w="9484" w:type="dxa"/>
        <w:tblInd w:w="0" w:type="dxa"/>
        <w:tblLayout w:type="fixed"/>
        <w:tblCellMar>
          <w:top w:w="0" w:type="dxa"/>
          <w:left w:w="0" w:type="dxa"/>
          <w:bottom w:w="0" w:type="dxa"/>
          <w:right w:w="0" w:type="dxa"/>
        </w:tblCellMar>
      </w:tblPr>
      <w:tblGrid>
        <w:gridCol w:w="495"/>
        <w:gridCol w:w="531"/>
        <w:gridCol w:w="661"/>
        <w:gridCol w:w="531"/>
        <w:gridCol w:w="7266"/>
      </w:tblGrid>
      <w:tr>
        <w:tblPrEx>
          <w:tblCellMar>
            <w:top w:w="0" w:type="dxa"/>
            <w:left w:w="0" w:type="dxa"/>
            <w:bottom w:w="0" w:type="dxa"/>
            <w:right w:w="0" w:type="dxa"/>
          </w:tblCellMar>
        </w:tblPrEx>
        <w:trPr>
          <w:trHeight w:val="270"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序号</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名称</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单位</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数量</w:t>
            </w:r>
          </w:p>
        </w:tc>
        <w:tc>
          <w:tcPr>
            <w:tcW w:w="72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备注</w:t>
            </w:r>
          </w:p>
        </w:tc>
      </w:tr>
      <w:tr>
        <w:tblPrEx>
          <w:tblCellMar>
            <w:top w:w="0" w:type="dxa"/>
            <w:left w:w="0" w:type="dxa"/>
            <w:bottom w:w="0" w:type="dxa"/>
            <w:right w:w="0" w:type="dxa"/>
          </w:tblCellMar>
        </w:tblPrEx>
        <w:trPr>
          <w:trHeight w:val="90"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室内全彩屏</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平方</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13.1</w:t>
            </w:r>
          </w:p>
        </w:tc>
        <w:tc>
          <w:tcPr>
            <w:tcW w:w="72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2"/>
              </w:numPr>
              <w:suppressLineNumbers w:val="0"/>
              <w:jc w:val="lef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结构说明：像素点采用1红1蓝1绿三合一；安装方式：钢挂贴墙式安装</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2、室内全彩单元板显示效果更加清晰细腻；实现高刷新率、高灰阶及较高灯管利用率；无残影、防“毛毛虫” 、低功耗、低突波等.</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 xml:space="preserve">3、模组尺寸：320mm*160mm ，模组分辨率160点×80点；                                                </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4、驱动器件：采用动态行驱动芯片 ，具有支持亮度调节功能。</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5、工作电压：在4.5VDC能正常工作</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6、工作环境：能满足—20℃ ~ 50℃ 正常工作</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 xml:space="preserve">7、像素点间距：≤2mm ；最佳视角：水平≥140°，垂直≥130°                                                      </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8、物理密度：≥250000点/㎡</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9、刷新频率：≥3840Hz；</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10、最大对比度：≥5300：1</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 xml:space="preserve">11、校正后白平衡亮度：≥500cd/m2  </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 xml:space="preserve">12、色度均匀性   ：≤0.0045，亮度均匀性   ：≥95% </w:t>
            </w:r>
          </w:p>
          <w:p>
            <w:pPr>
              <w:keepNext w:val="0"/>
              <w:keepLines w:val="0"/>
              <w:widowControl/>
              <w:numPr>
                <w:ilvl w:val="0"/>
                <w:numId w:val="3"/>
              </w:numPr>
              <w:suppressLineNumbers w:val="0"/>
              <w:jc w:val="left"/>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 xml:space="preserve">色温：3000K-18000K具有可调整性                             </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 xml:space="preserve">14、灰度级数：大于或等于15bit  </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15、平均无故障时间：≥10000小时</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16、平整度：≤0.05mm；</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17、最大功耗：≤439W /㎡，平均功耗≤146.3W/㎡</w:t>
            </w:r>
            <w:r>
              <w:rPr>
                <w:rFonts w:hint="eastAsia" w:ascii="宋体" w:hAnsi="宋体" w:cs="宋体"/>
                <w:i w:val="0"/>
                <w:color w:val="000000"/>
                <w:kern w:val="0"/>
                <w:sz w:val="22"/>
                <w:szCs w:val="22"/>
                <w:highlight w:val="none"/>
                <w:u w:val="none"/>
                <w:lang w:val="en-US" w:eastAsia="zh-CN" w:bidi="ar"/>
              </w:rPr>
              <w:t>(</w:t>
            </w:r>
            <w:r>
              <w:rPr>
                <w:rFonts w:hint="eastAsia" w:ascii="宋体" w:hAnsi="宋体" w:eastAsia="宋体" w:cs="宋体"/>
                <w:color w:val="auto"/>
                <w:sz w:val="22"/>
                <w:szCs w:val="22"/>
                <w:highlight w:val="none"/>
                <w:lang w:val="en-US" w:eastAsia="zh-CN"/>
              </w:rPr>
              <w:t>峰值功耗：≤500</w:t>
            </w:r>
            <w:r>
              <w:rPr>
                <w:rFonts w:hint="eastAsia" w:ascii="宋体" w:hAnsi="宋体" w:eastAsia="宋体" w:cs="宋体"/>
                <w:color w:val="auto"/>
                <w:sz w:val="22"/>
                <w:szCs w:val="22"/>
                <w:highlight w:val="none"/>
              </w:rPr>
              <w:t>W/</w:t>
            </w:r>
            <w:r>
              <w:rPr>
                <w:rFonts w:hint="eastAsia" w:ascii="宋体" w:hAnsi="宋体" w:eastAsia="宋体" w:cs="宋体"/>
                <w:color w:val="auto"/>
                <w:sz w:val="22"/>
                <w:szCs w:val="22"/>
                <w:highlight w:val="none"/>
                <w:lang w:eastAsia="zh-CN"/>
              </w:rPr>
              <w:t>㎡，平均功耗：</w:t>
            </w:r>
            <w:r>
              <w:rPr>
                <w:rFonts w:hint="eastAsia" w:ascii="宋体" w:hAnsi="宋体" w:eastAsia="宋体" w:cs="宋体"/>
                <w:color w:val="auto"/>
                <w:sz w:val="22"/>
                <w:szCs w:val="22"/>
                <w:highlight w:val="none"/>
                <w:lang w:val="en-US" w:eastAsia="zh-CN"/>
              </w:rPr>
              <w:t>≤180</w:t>
            </w:r>
            <w:r>
              <w:rPr>
                <w:rFonts w:hint="eastAsia" w:ascii="宋体" w:hAnsi="宋体" w:eastAsia="宋体" w:cs="宋体"/>
                <w:color w:val="auto"/>
                <w:sz w:val="22"/>
                <w:szCs w:val="22"/>
                <w:highlight w:val="none"/>
              </w:rPr>
              <w:t>W/</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18、</w:t>
            </w:r>
            <w:r>
              <w:rPr>
                <w:rFonts w:hint="eastAsia" w:ascii="宋体" w:hAnsi="宋体" w:cs="宋体"/>
                <w:i w:val="0"/>
                <w:color w:val="000000"/>
                <w:kern w:val="0"/>
                <w:sz w:val="22"/>
                <w:szCs w:val="22"/>
                <w:highlight w:val="none"/>
                <w:u w:val="none"/>
                <w:lang w:val="en-US" w:eastAsia="zh-CN" w:bidi="ar"/>
              </w:rPr>
              <w:t>产品</w:t>
            </w:r>
            <w:r>
              <w:rPr>
                <w:rFonts w:hint="eastAsia" w:ascii="宋体" w:hAnsi="宋体" w:eastAsia="宋体" w:cs="宋体"/>
                <w:i w:val="0"/>
                <w:color w:val="000000"/>
                <w:kern w:val="0"/>
                <w:sz w:val="22"/>
                <w:szCs w:val="22"/>
                <w:highlight w:val="none"/>
                <w:u w:val="none"/>
                <w:lang w:val="en-US" w:eastAsia="zh-CN" w:bidi="ar"/>
              </w:rPr>
              <w:t>通过3C认证（提供有效的证书复印件，加盖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cs="宋体"/>
                <w:i w:val="0"/>
                <w:color w:val="000000"/>
                <w:kern w:val="0"/>
                <w:sz w:val="22"/>
                <w:szCs w:val="22"/>
                <w:highlight w:val="none"/>
                <w:u w:val="none"/>
                <w:lang w:val="en-US" w:eastAsia="zh-CN" w:bidi="ar"/>
              </w:rPr>
              <w:t>19</w:t>
            </w:r>
            <w:r>
              <w:rPr>
                <w:rFonts w:hint="eastAsia" w:ascii="宋体" w:hAnsi="宋体" w:eastAsia="宋体" w:cs="宋体"/>
                <w:i w:val="0"/>
                <w:color w:val="000000"/>
                <w:kern w:val="0"/>
                <w:sz w:val="22"/>
                <w:szCs w:val="22"/>
                <w:highlight w:val="none"/>
                <w:u w:val="none"/>
                <w:lang w:val="en-US" w:eastAsia="zh-CN" w:bidi="ar"/>
              </w:rPr>
              <w:t>、为了保证客户室内安全无火灾隐患，LED显示屏产品须通过国家防火阻燃最高标准V-0级（（提供检测报告复印件并加盖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w:t>
            </w:r>
            <w:r>
              <w:rPr>
                <w:rFonts w:hint="eastAsia" w:ascii="宋体" w:hAnsi="宋体" w:cs="宋体"/>
                <w:i w:val="0"/>
                <w:color w:val="000000"/>
                <w:kern w:val="0"/>
                <w:sz w:val="22"/>
                <w:szCs w:val="22"/>
                <w:highlight w:val="none"/>
                <w:u w:val="none"/>
                <w:lang w:val="en-US" w:eastAsia="zh-CN" w:bidi="ar"/>
              </w:rPr>
              <w:t>0</w:t>
            </w:r>
            <w:r>
              <w:rPr>
                <w:rFonts w:hint="eastAsia" w:ascii="宋体" w:hAnsi="宋体" w:eastAsia="宋体" w:cs="宋体"/>
                <w:i w:val="0"/>
                <w:color w:val="000000"/>
                <w:kern w:val="0"/>
                <w:sz w:val="22"/>
                <w:szCs w:val="22"/>
                <w:highlight w:val="none"/>
                <w:u w:val="none"/>
                <w:lang w:val="en-US" w:eastAsia="zh-CN" w:bidi="ar"/>
              </w:rPr>
              <w:t>、产品须在温度为85℃和湿度85%情况下，保证150H以上无故障运行。（提供</w:t>
            </w:r>
            <w:r>
              <w:rPr>
                <w:rFonts w:hint="eastAsia" w:ascii="宋体" w:hAnsi="宋体" w:cs="宋体"/>
                <w:i w:val="0"/>
                <w:color w:val="000000"/>
                <w:kern w:val="0"/>
                <w:sz w:val="22"/>
                <w:szCs w:val="22"/>
                <w:highlight w:val="none"/>
                <w:u w:val="none"/>
                <w:lang w:val="en-US" w:eastAsia="zh-CN" w:bidi="ar"/>
              </w:rPr>
              <w:t>第三方检测机构</w:t>
            </w:r>
            <w:r>
              <w:rPr>
                <w:rFonts w:hint="eastAsia" w:ascii="宋体" w:hAnsi="宋体" w:eastAsia="宋体" w:cs="宋体"/>
                <w:i w:val="0"/>
                <w:color w:val="000000"/>
                <w:kern w:val="0"/>
                <w:sz w:val="22"/>
                <w:szCs w:val="22"/>
                <w:highlight w:val="none"/>
                <w:u w:val="none"/>
                <w:lang w:val="en-US" w:eastAsia="zh-CN" w:bidi="ar"/>
              </w:rPr>
              <w:t>的检测报告复印件加盖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w:t>
            </w:r>
            <w:r>
              <w:rPr>
                <w:rFonts w:hint="eastAsia" w:ascii="宋体" w:hAnsi="宋体" w:cs="宋体"/>
                <w:i w:val="0"/>
                <w:color w:val="000000"/>
                <w:kern w:val="0"/>
                <w:sz w:val="22"/>
                <w:szCs w:val="22"/>
                <w:highlight w:val="none"/>
                <w:u w:val="none"/>
                <w:lang w:val="en-US" w:eastAsia="zh-CN" w:bidi="ar"/>
              </w:rPr>
              <w:t>1</w:t>
            </w:r>
            <w:r>
              <w:rPr>
                <w:rFonts w:hint="eastAsia" w:ascii="宋体" w:hAnsi="宋体" w:eastAsia="宋体" w:cs="宋体"/>
                <w:i w:val="0"/>
                <w:color w:val="000000"/>
                <w:kern w:val="0"/>
                <w:sz w:val="22"/>
                <w:szCs w:val="22"/>
                <w:highlight w:val="none"/>
                <w:u w:val="none"/>
                <w:lang w:val="en-US" w:eastAsia="zh-CN" w:bidi="ar"/>
              </w:rPr>
              <w:t>、为了观众身体不受蓝光伤害，LED显示屏须通过蓝光无风险危害检测。（提供第三方检测机构检测报告复印件并加盖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w:t>
            </w:r>
            <w:r>
              <w:rPr>
                <w:rFonts w:hint="eastAsia" w:ascii="宋体" w:hAnsi="宋体" w:cs="宋体"/>
                <w:i w:val="0"/>
                <w:color w:val="000000"/>
                <w:kern w:val="0"/>
                <w:sz w:val="22"/>
                <w:szCs w:val="22"/>
                <w:highlight w:val="none"/>
                <w:u w:val="none"/>
                <w:lang w:val="en-US" w:eastAsia="zh-CN" w:bidi="ar"/>
              </w:rPr>
              <w:t>2</w:t>
            </w:r>
            <w:r>
              <w:rPr>
                <w:rFonts w:hint="eastAsia" w:ascii="宋体" w:hAnsi="宋体" w:eastAsia="宋体" w:cs="宋体"/>
                <w:i w:val="0"/>
                <w:color w:val="000000"/>
                <w:kern w:val="0"/>
                <w:sz w:val="22"/>
                <w:szCs w:val="22"/>
                <w:highlight w:val="none"/>
                <w:u w:val="none"/>
                <w:lang w:val="en-US" w:eastAsia="zh-CN" w:bidi="ar"/>
              </w:rPr>
              <w:t>、为确保屏体在不同环境温度的影响下仍可正常工作使用，要求投标人所投LED显示屏须通过-40℃和80℃的环境运行测试。（提供</w:t>
            </w:r>
            <w:r>
              <w:rPr>
                <w:rFonts w:hint="eastAsia" w:ascii="宋体" w:hAnsi="宋体" w:cs="宋体"/>
                <w:i w:val="0"/>
                <w:color w:val="000000"/>
                <w:kern w:val="0"/>
                <w:sz w:val="22"/>
                <w:szCs w:val="22"/>
                <w:highlight w:val="none"/>
                <w:u w:val="none"/>
                <w:lang w:val="en-US" w:eastAsia="zh-CN" w:bidi="ar"/>
              </w:rPr>
              <w:t>第三方检测机构</w:t>
            </w:r>
            <w:r>
              <w:rPr>
                <w:rFonts w:hint="eastAsia" w:ascii="宋体" w:hAnsi="宋体" w:eastAsia="宋体" w:cs="宋体"/>
                <w:i w:val="0"/>
                <w:color w:val="000000"/>
                <w:kern w:val="0"/>
                <w:sz w:val="22"/>
                <w:szCs w:val="22"/>
                <w:highlight w:val="none"/>
                <w:u w:val="none"/>
                <w:lang w:val="en-US" w:eastAsia="zh-CN" w:bidi="ar"/>
              </w:rPr>
              <w:t>的检测报告复印件并加盖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w:t>
            </w:r>
            <w:r>
              <w:rPr>
                <w:rFonts w:hint="eastAsia" w:ascii="宋体" w:hAnsi="宋体" w:cs="宋体"/>
                <w:i w:val="0"/>
                <w:color w:val="000000"/>
                <w:kern w:val="0"/>
                <w:sz w:val="22"/>
                <w:szCs w:val="22"/>
                <w:highlight w:val="none"/>
                <w:u w:val="none"/>
                <w:lang w:val="en-US" w:eastAsia="zh-CN" w:bidi="ar"/>
              </w:rPr>
              <w:t>3</w:t>
            </w:r>
            <w:r>
              <w:rPr>
                <w:rFonts w:hint="eastAsia" w:ascii="宋体" w:hAnsi="宋体" w:eastAsia="宋体" w:cs="宋体"/>
                <w:i w:val="0"/>
                <w:color w:val="000000"/>
                <w:kern w:val="0"/>
                <w:sz w:val="22"/>
                <w:szCs w:val="22"/>
                <w:highlight w:val="none"/>
                <w:u w:val="none"/>
                <w:lang w:val="en-US" w:eastAsia="zh-CN" w:bidi="ar"/>
              </w:rPr>
              <w:t>、为了保证设备的安全性能以及人身安全,要求投标人所投LED显示屏在受到持续1min的AC1500V高压冲击下，屏体仍可正常通电工作。（提供</w:t>
            </w:r>
            <w:r>
              <w:rPr>
                <w:rFonts w:hint="eastAsia" w:ascii="宋体" w:hAnsi="宋体" w:cs="宋体"/>
                <w:i w:val="0"/>
                <w:color w:val="000000"/>
                <w:kern w:val="0"/>
                <w:sz w:val="22"/>
                <w:szCs w:val="22"/>
                <w:highlight w:val="none"/>
                <w:u w:val="none"/>
                <w:lang w:val="en-US" w:eastAsia="zh-CN" w:bidi="ar"/>
              </w:rPr>
              <w:t>第三方检测机构</w:t>
            </w:r>
            <w:r>
              <w:rPr>
                <w:rFonts w:hint="eastAsia" w:ascii="宋体" w:hAnsi="宋体" w:eastAsia="宋体" w:cs="宋体"/>
                <w:i w:val="0"/>
                <w:color w:val="000000"/>
                <w:kern w:val="0"/>
                <w:sz w:val="22"/>
                <w:szCs w:val="22"/>
                <w:highlight w:val="none"/>
                <w:u w:val="none"/>
                <w:lang w:val="en-US" w:eastAsia="zh-CN" w:bidi="ar"/>
              </w:rPr>
              <w:t>的检测报告复印件加盖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w:t>
            </w:r>
            <w:r>
              <w:rPr>
                <w:rFonts w:hint="eastAsia" w:ascii="宋体" w:hAnsi="宋体" w:cs="宋体"/>
                <w:i w:val="0"/>
                <w:color w:val="000000"/>
                <w:kern w:val="0"/>
                <w:sz w:val="22"/>
                <w:szCs w:val="22"/>
                <w:highlight w:val="none"/>
                <w:u w:val="none"/>
                <w:lang w:val="en-US" w:eastAsia="zh-CN" w:bidi="ar"/>
              </w:rPr>
              <w:t>4</w:t>
            </w:r>
            <w:r>
              <w:rPr>
                <w:rFonts w:hint="eastAsia" w:ascii="宋体" w:hAnsi="宋体" w:eastAsia="宋体" w:cs="宋体"/>
                <w:i w:val="0"/>
                <w:color w:val="000000"/>
                <w:kern w:val="0"/>
                <w:sz w:val="22"/>
                <w:szCs w:val="22"/>
                <w:highlight w:val="none"/>
                <w:u w:val="none"/>
                <w:lang w:val="en-US" w:eastAsia="zh-CN" w:bidi="ar"/>
              </w:rPr>
              <w:t>、为了保证工作场所的无噪音影响，LED显示屏须通过噪声实验，≤20dBA(符合NR-10及以上标准级别）。（提供具有</w:t>
            </w:r>
            <w:r>
              <w:rPr>
                <w:rFonts w:hint="eastAsia" w:ascii="宋体" w:hAnsi="宋体" w:cs="宋体"/>
                <w:i w:val="0"/>
                <w:color w:val="000000"/>
                <w:kern w:val="0"/>
                <w:sz w:val="22"/>
                <w:szCs w:val="22"/>
                <w:highlight w:val="none"/>
                <w:u w:val="none"/>
                <w:lang w:val="en-US" w:eastAsia="zh-CN" w:bidi="ar"/>
              </w:rPr>
              <w:t>第三方检测机构</w:t>
            </w:r>
            <w:r>
              <w:rPr>
                <w:rFonts w:hint="eastAsia" w:ascii="宋体" w:hAnsi="宋体" w:eastAsia="宋体" w:cs="宋体"/>
                <w:i w:val="0"/>
                <w:color w:val="000000"/>
                <w:kern w:val="0"/>
                <w:sz w:val="22"/>
                <w:szCs w:val="22"/>
                <w:highlight w:val="none"/>
                <w:u w:val="none"/>
                <w:lang w:val="en-US" w:eastAsia="zh-CN" w:bidi="ar"/>
              </w:rPr>
              <w:t>的检测报告复印件并加盖</w:t>
            </w:r>
            <w:r>
              <w:rPr>
                <w:rFonts w:hint="eastAsia" w:ascii="宋体" w:hAnsi="宋体" w:cs="宋体"/>
                <w:i w:val="0"/>
                <w:color w:val="000000"/>
                <w:kern w:val="0"/>
                <w:sz w:val="22"/>
                <w:szCs w:val="22"/>
                <w:highlight w:val="none"/>
                <w:u w:val="none"/>
                <w:lang w:val="en-US" w:eastAsia="zh-CN" w:bidi="ar"/>
              </w:rPr>
              <w:t>投标供应商</w:t>
            </w:r>
            <w:r>
              <w:rPr>
                <w:rFonts w:hint="eastAsia" w:ascii="宋体" w:hAnsi="宋体" w:eastAsia="宋体" w:cs="宋体"/>
                <w:i w:val="0"/>
                <w:color w:val="000000"/>
                <w:kern w:val="0"/>
                <w:sz w:val="22"/>
                <w:szCs w:val="22"/>
                <w:highlight w:val="none"/>
                <w:u w:val="none"/>
                <w:lang w:val="en-US" w:eastAsia="zh-CN" w:bidi="ar"/>
              </w:rPr>
              <w:t>公章）</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cs="宋体"/>
                <w:i w:val="0"/>
                <w:color w:val="000000"/>
                <w:kern w:val="0"/>
                <w:sz w:val="22"/>
                <w:szCs w:val="22"/>
                <w:highlight w:val="none"/>
                <w:u w:val="none"/>
                <w:lang w:val="en-US" w:eastAsia="zh-CN" w:bidi="ar"/>
              </w:rPr>
              <w:t>25</w:t>
            </w:r>
            <w:r>
              <w:rPr>
                <w:rFonts w:hint="eastAsia" w:ascii="宋体" w:hAnsi="宋体" w:eastAsia="宋体" w:cs="宋体"/>
                <w:i w:val="0"/>
                <w:color w:val="000000"/>
                <w:kern w:val="0"/>
                <w:sz w:val="22"/>
                <w:szCs w:val="22"/>
                <w:highlight w:val="none"/>
                <w:u w:val="none"/>
                <w:lang w:val="en-US" w:eastAsia="zh-CN" w:bidi="ar"/>
              </w:rPr>
              <w:t>、提供投标产品原厂出厂配置表、产品出厂技术规格标准或者带有技术参数的中文彩页资料。</w:t>
            </w:r>
          </w:p>
        </w:tc>
      </w:tr>
      <w:tr>
        <w:tblPrEx>
          <w:tblCellMar>
            <w:top w:w="0" w:type="dxa"/>
            <w:left w:w="0" w:type="dxa"/>
            <w:bottom w:w="0" w:type="dxa"/>
            <w:right w:w="0" w:type="dxa"/>
          </w:tblCellMar>
        </w:tblPrEx>
        <w:trPr>
          <w:trHeight w:val="485"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数据接收卡</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张</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32</w:t>
            </w:r>
          </w:p>
        </w:tc>
        <w:tc>
          <w:tcPr>
            <w:tcW w:w="72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1、集成HUB75，无需再配转接板，更方便，成本更低；</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2、减少接插连接件，减少故障点，故障率更低；</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3、支持常规芯片实现高刷新、高灰度、高亮度；</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4、全新灰度引擎，低灰度表现更佳；</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5、细节处理更完美，可消除单元板设计引起的某行偏暗、低灰偏红、鬼影等细节问题；</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6、支持14bit精度的色度、亮度一体化逐点校正；</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7、支持所有常规芯片、PWM芯片和灯饰芯片；</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8、支持静态屏、1/2~1/64扫之间的任意扫描类型；</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9、支持任意抽点，支持数据偏移，可轻松实现各种异型屏、球形屏、创意显示屏；</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10、单卡支持16组RGB信号输出；</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11、支持超大带载面积，单卡带载128*512，256*256；</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12、先进设计，优质元器件，全自动高低温老化测试，零故障出厂；</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13、支持DC 3.3V~6V超宽工作电压，有效减弱电压波动带来的影响；</w:t>
            </w:r>
          </w:p>
        </w:tc>
      </w:tr>
      <w:tr>
        <w:tblPrEx>
          <w:tblCellMar>
            <w:top w:w="0" w:type="dxa"/>
            <w:left w:w="0" w:type="dxa"/>
            <w:bottom w:w="0" w:type="dxa"/>
            <w:right w:w="0" w:type="dxa"/>
          </w:tblCellMar>
        </w:tblPrEx>
        <w:trPr>
          <w:trHeight w:val="5109"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视屏处理器</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台</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72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专业主控是针对LED显示屏工程应用领域的专业级控制系统和视频处理设备；具备丰富的视频信号接口，支持HDMI、DVI等高清数字接口，多路信号间无缝切换；支持广播级缩放及多画面显示。具备6个千兆网口输出，单机可支持最宽8192像素，或最高8192像素的LED显示屏。同时，还具备一系列丰富实用的功能，可以实现灵活的屏幕控制和高品质的图像显示，在LED显示屏工程应用领域具有显著优势。</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•支持丰富的数字信号接口，包括2路DVI，1路HDMI，1路SDI；</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•最大输入分辨率1920*1200@60Hz，支持分辨率任意设置；</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•最大带载390万像素，最宽可达8192点，或最高可达8192点；</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•支持视频源任意切换，任意缩放；</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•支持三画面显示，位置、大小可自由调节；</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•支持HDCP1.4；</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•双USB2.0高速通讯接口，用于电脑调试和主控间任意级联；</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•支持亮度、色温调节，支持对比度、色调、饱和度调节；</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•支持低亮高灰；</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•支持扩展U盘播放，WiFi投屏和1路HDMI高清输入；</w:t>
            </w:r>
          </w:p>
        </w:tc>
      </w:tr>
      <w:tr>
        <w:tblPrEx>
          <w:tblCellMar>
            <w:top w:w="0" w:type="dxa"/>
            <w:left w:w="0" w:type="dxa"/>
            <w:bottom w:w="0" w:type="dxa"/>
            <w:right w:w="0" w:type="dxa"/>
          </w:tblCellMar>
        </w:tblPrEx>
        <w:trPr>
          <w:trHeight w:val="780"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智能控制电箱</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台</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72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配电箱：20KW 配电柜内装有空气开关、熔断器、交流接触器、电流互感器、电压互感器、电源防雷器等，,含多功能卡智能上电系统，具有过流、过压、欠压、短路、断路、超温、超负荷、断电、等保护功能</w:t>
            </w:r>
          </w:p>
        </w:tc>
      </w:tr>
      <w:tr>
        <w:tblPrEx>
          <w:tblCellMar>
            <w:top w:w="0" w:type="dxa"/>
            <w:left w:w="0" w:type="dxa"/>
            <w:bottom w:w="0" w:type="dxa"/>
            <w:right w:w="0" w:type="dxa"/>
          </w:tblCellMar>
        </w:tblPrEx>
        <w:trPr>
          <w:trHeight w:val="2704"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钢架</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平方</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13.1</w:t>
            </w:r>
          </w:p>
        </w:tc>
        <w:tc>
          <w:tcPr>
            <w:tcW w:w="72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1、钢结构：钢架构件（含接合板）采用Q235B钢制作，结构用钢应符合《GB700-88》规定的Q235要求，保证其抗拉强度、伸长率、屈服点，碳、硫、磷的极限含量；</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2、焊条：手工焊：Q235连接用E43系列焊条；</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3、自动焊：Q235连接用H08系列焊条；</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4、要求：抗风8级 抗震7级；</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5、包边：不锈钢包边；</w:t>
            </w:r>
            <w:r>
              <w:rPr>
                <w:rFonts w:hint="eastAsia" w:ascii="宋体" w:hAnsi="宋体" w:eastAsia="宋体" w:cs="宋体"/>
                <w:i w:val="0"/>
                <w:color w:val="000000"/>
                <w:kern w:val="0"/>
                <w:sz w:val="22"/>
                <w:szCs w:val="22"/>
                <w:highlight w:val="none"/>
                <w:u w:val="none"/>
                <w:lang w:val="en-US" w:eastAsia="zh-CN" w:bidi="ar"/>
              </w:rPr>
              <w:br w:type="textWrapping"/>
            </w:r>
            <w:r>
              <w:rPr>
                <w:rFonts w:hint="eastAsia" w:ascii="宋体" w:hAnsi="宋体" w:eastAsia="宋体" w:cs="宋体"/>
                <w:i w:val="0"/>
                <w:color w:val="000000"/>
                <w:kern w:val="0"/>
                <w:sz w:val="22"/>
                <w:szCs w:val="22"/>
                <w:highlight w:val="none"/>
                <w:u w:val="none"/>
                <w:lang w:val="en-US" w:eastAsia="zh-CN" w:bidi="ar"/>
              </w:rPr>
              <w:t>6、钢架采用曲面圆弧型定制；</w:t>
            </w:r>
          </w:p>
        </w:tc>
      </w:tr>
      <w:tr>
        <w:tblPrEx>
          <w:tblCellMar>
            <w:top w:w="0" w:type="dxa"/>
            <w:left w:w="0" w:type="dxa"/>
            <w:bottom w:w="0" w:type="dxa"/>
            <w:right w:w="0"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6</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辅材及税点</w:t>
            </w:r>
          </w:p>
        </w:tc>
        <w:tc>
          <w:tcPr>
            <w:tcW w:w="6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批</w:t>
            </w:r>
          </w:p>
        </w:tc>
        <w:tc>
          <w:tcPr>
            <w:tcW w:w="53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72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含所有管线敷设材料、人工费及税点</w:t>
            </w:r>
          </w:p>
        </w:tc>
      </w:tr>
      <w:tr>
        <w:tblPrEx>
          <w:tblCellMar>
            <w:top w:w="0" w:type="dxa"/>
            <w:left w:w="0" w:type="dxa"/>
            <w:bottom w:w="0" w:type="dxa"/>
            <w:right w:w="0" w:type="dxa"/>
          </w:tblCellMar>
        </w:tblPrEx>
        <w:trPr>
          <w:trHeight w:val="420" w:hRule="atLeast"/>
        </w:trPr>
        <w:tc>
          <w:tcPr>
            <w:tcW w:w="9484"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FF0000"/>
                <w:kern w:val="0"/>
                <w:sz w:val="22"/>
                <w:szCs w:val="22"/>
                <w:highlight w:val="none"/>
                <w:u w:val="none"/>
                <w:lang w:val="en-US" w:eastAsia="zh-CN" w:bidi="ar"/>
              </w:rPr>
              <w:t>备注：单项报价请各供应商将第6点辅材及税点费用分摊到1-5项内（方便校方登记入库）。</w:t>
            </w:r>
          </w:p>
        </w:tc>
      </w:tr>
    </w:tbl>
    <w:p>
      <w:pPr>
        <w:pStyle w:val="9"/>
        <w:ind w:left="0" w:leftChars="0" w:firstLine="0" w:firstLineChars="0"/>
        <w:rPr>
          <w:rFonts w:hint="eastAsia" w:ascii="宋体" w:hAnsi="宋体" w:cs="宋体"/>
          <w:b/>
          <w:bCs/>
          <w:color w:val="auto"/>
          <w:spacing w:val="-6"/>
          <w:sz w:val="22"/>
          <w:szCs w:val="22"/>
          <w:highlight w:val="none"/>
        </w:rPr>
      </w:pPr>
    </w:p>
    <w:p>
      <w:pPr>
        <w:spacing w:line="360" w:lineRule="exact"/>
        <w:rPr>
          <w:rFonts w:hint="eastAsia" w:ascii="宋体" w:hAnsi="宋体" w:cs="宋体"/>
          <w:b/>
          <w:bCs/>
          <w:color w:val="auto"/>
          <w:sz w:val="22"/>
          <w:szCs w:val="22"/>
          <w:highlight w:val="none"/>
        </w:rPr>
      </w:pPr>
      <w:r>
        <w:rPr>
          <w:rFonts w:hint="eastAsia" w:ascii="宋体" w:hAnsi="宋体" w:cs="宋体"/>
          <w:b/>
          <w:color w:val="auto"/>
          <w:spacing w:val="-6"/>
          <w:sz w:val="22"/>
          <w:szCs w:val="22"/>
          <w:highlight w:val="none"/>
        </w:rPr>
        <w:t>四、其他</w:t>
      </w:r>
    </w:p>
    <w:p>
      <w:pPr>
        <w:spacing w:line="360" w:lineRule="exact"/>
        <w:ind w:firstLine="418" w:firstLineChars="200"/>
        <w:rPr>
          <w:rFonts w:hint="eastAsia" w:ascii="宋体" w:hAnsi="宋体" w:cs="宋体"/>
          <w:b/>
          <w:color w:val="auto"/>
          <w:spacing w:val="-6"/>
          <w:sz w:val="22"/>
          <w:szCs w:val="22"/>
          <w:highlight w:val="none"/>
        </w:rPr>
      </w:pPr>
      <w:r>
        <w:rPr>
          <w:rFonts w:hint="eastAsia" w:ascii="宋体" w:hAnsi="宋体" w:cs="宋体"/>
          <w:b/>
          <w:color w:val="auto"/>
          <w:spacing w:val="-6"/>
          <w:sz w:val="22"/>
          <w:szCs w:val="22"/>
          <w:highlight w:val="none"/>
        </w:rPr>
        <w:t>标“▲且加下划线”的有关技术和商务要求为实质性条款，响应方必须做出实质性响应</w:t>
      </w:r>
      <w:r>
        <w:rPr>
          <w:rFonts w:hint="eastAsia" w:ascii="宋体" w:hAnsi="宋体" w:cs="宋体"/>
          <w:b/>
          <w:bCs/>
          <w:color w:val="auto"/>
          <w:spacing w:val="-6"/>
          <w:sz w:val="22"/>
          <w:szCs w:val="22"/>
          <w:highlight w:val="none"/>
        </w:rPr>
        <w:t>，否则视为无效响应文件。</w:t>
      </w:r>
      <w:r>
        <w:rPr>
          <w:rFonts w:hint="eastAsia" w:ascii="宋体" w:hAnsi="宋体" w:cs="宋体"/>
          <w:b/>
          <w:color w:val="auto"/>
          <w:spacing w:val="-6"/>
          <w:sz w:val="22"/>
          <w:szCs w:val="22"/>
          <w:highlight w:val="none"/>
        </w:rPr>
        <w:t>除此之外其余的指标、服务要求以及合同条款可在磋商现场，根据磋商小组与供应商的磋商进行变动。</w:t>
      </w:r>
    </w:p>
    <w:p>
      <w:pPr>
        <w:spacing w:line="360" w:lineRule="exact"/>
        <w:ind w:firstLine="418" w:firstLineChars="200"/>
        <w:rPr>
          <w:rFonts w:hint="eastAsia" w:ascii="宋体" w:hAnsi="宋体" w:cs="宋体"/>
          <w:b/>
          <w:bCs/>
          <w:color w:val="auto"/>
          <w:spacing w:val="-6"/>
          <w:sz w:val="22"/>
          <w:szCs w:val="22"/>
          <w:highlight w:val="none"/>
        </w:rPr>
      </w:pPr>
      <w:r>
        <w:rPr>
          <w:rFonts w:hint="eastAsia" w:ascii="宋体" w:hAnsi="宋体" w:cs="宋体"/>
          <w:b/>
          <w:color w:val="auto"/>
          <w:spacing w:val="-6"/>
          <w:sz w:val="22"/>
          <w:szCs w:val="22"/>
          <w:highlight w:val="none"/>
        </w:rPr>
        <w:t>除磋商文件中所明确的采购需求规格外，欢迎其他能满足本项目采购需求且性能相当于或高于所明确的产品参加磋商报价。同时在采购需求偏离表中作出详细对比说明</w:t>
      </w:r>
      <w:r>
        <w:rPr>
          <w:rFonts w:hint="eastAsia" w:ascii="宋体" w:hAnsi="宋体" w:cs="宋体"/>
          <w:b/>
          <w:bCs/>
          <w:color w:val="auto"/>
          <w:kern w:val="0"/>
          <w:sz w:val="22"/>
          <w:szCs w:val="22"/>
          <w:highlight w:val="none"/>
        </w:rPr>
        <w:t>。</w:t>
      </w:r>
    </w:p>
    <w:p>
      <w:pPr>
        <w:adjustRightInd w:val="0"/>
        <w:snapToGrid w:val="0"/>
        <w:spacing w:before="120" w:beforeLines="50" w:after="120" w:afterLines="50" w:line="360" w:lineRule="auto"/>
        <w:jc w:val="center"/>
        <w:outlineLvl w:val="0"/>
        <w:rPr>
          <w:rFonts w:hint="eastAsia" w:ascii="宋体" w:hAnsi="宋体" w:cs="宋体"/>
          <w:b/>
          <w:color w:val="auto"/>
          <w:sz w:val="30"/>
          <w:szCs w:val="30"/>
          <w:highlight w:val="none"/>
        </w:rPr>
      </w:pPr>
    </w:p>
    <w:p>
      <w:pPr>
        <w:pStyle w:val="9"/>
        <w:ind w:firstLine="560"/>
        <w:rPr>
          <w:rFonts w:hint="eastAsia"/>
          <w:color w:val="auto"/>
          <w:highlight w:val="none"/>
        </w:rPr>
      </w:pPr>
    </w:p>
    <w:p>
      <w:pPr>
        <w:pStyle w:val="9"/>
        <w:ind w:firstLine="560"/>
        <w:rPr>
          <w:rFonts w:hint="eastAsia"/>
          <w:color w:val="auto"/>
          <w:highlight w:val="none"/>
        </w:rPr>
      </w:pPr>
    </w:p>
    <w:p>
      <w:pPr>
        <w:pStyle w:val="9"/>
        <w:ind w:firstLine="56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pPr>
        <w:pStyle w:val="9"/>
        <w:ind w:left="0" w:leftChars="0" w:firstLine="0" w:firstLineChars="0"/>
        <w:rPr>
          <w:rFonts w:hint="eastAsia"/>
          <w:color w:val="auto"/>
          <w:highlight w:val="none"/>
        </w:rPr>
      </w:pPr>
    </w:p>
    <w:p>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5215915"/>
    <w:multiLevelType w:val="singleLevel"/>
    <w:tmpl w:val="E5215915"/>
    <w:lvl w:ilvl="0" w:tentative="0">
      <w:start w:val="1"/>
      <w:numFmt w:val="decimal"/>
      <w:suff w:val="nothing"/>
      <w:lvlText w:val="%1、"/>
      <w:lvlJc w:val="left"/>
    </w:lvl>
  </w:abstractNum>
  <w:abstractNum w:abstractNumId="1">
    <w:nsid w:val="EF82BFD4"/>
    <w:multiLevelType w:val="singleLevel"/>
    <w:tmpl w:val="EF82BFD4"/>
    <w:lvl w:ilvl="0" w:tentative="0">
      <w:start w:val="3"/>
      <w:numFmt w:val="chineseCounting"/>
      <w:suff w:val="nothing"/>
      <w:lvlText w:val="%1、"/>
      <w:lvlJc w:val="left"/>
      <w:rPr>
        <w:rFonts w:hint="eastAsia"/>
      </w:rPr>
    </w:lvl>
  </w:abstractNum>
  <w:abstractNum w:abstractNumId="2">
    <w:nsid w:val="6545C602"/>
    <w:multiLevelType w:val="singleLevel"/>
    <w:tmpl w:val="6545C602"/>
    <w:lvl w:ilvl="0" w:tentative="0">
      <w:start w:val="13"/>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F78DC"/>
    <w:rsid w:val="18B72211"/>
    <w:rsid w:val="18C40218"/>
    <w:rsid w:val="39BE5198"/>
    <w:rsid w:val="3A89141C"/>
    <w:rsid w:val="400225AA"/>
    <w:rsid w:val="634D1C70"/>
    <w:rsid w:val="66723EAF"/>
    <w:rsid w:val="6CD37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