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98B5D">
      <w:pPr>
        <w:keepNext w:val="0"/>
        <w:keepLines w:val="0"/>
        <w:widowControl w:val="0"/>
        <w:suppressLineNumbers w:val="0"/>
        <w:autoSpaceDE w:val="0"/>
        <w:autoSpaceDN/>
        <w:spacing w:before="0" w:beforeAutospacing="0" w:after="0" w:afterAutospacing="0" w:line="540" w:lineRule="exact"/>
        <w:ind w:left="0" w:leftChars="0" w:right="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附件1</w:t>
      </w:r>
    </w:p>
    <w:p w14:paraId="435E6D91">
      <w:pPr>
        <w:keepNext w:val="0"/>
        <w:keepLines w:val="0"/>
        <w:widowControl w:val="0"/>
        <w:suppressLineNumbers w:val="0"/>
        <w:autoSpaceDE w:val="0"/>
        <w:autoSpaceDN/>
        <w:spacing w:before="0" w:beforeAutospacing="0" w:after="0" w:afterAutospacing="0" w:line="540" w:lineRule="exact"/>
        <w:ind w:left="0" w:leftChars="0" w:right="0"/>
        <w:jc w:val="both"/>
        <w:rPr>
          <w:rFonts w:hint="eastAsia" w:ascii="方正小标宋简体" w:hAnsi="方正小标宋简体" w:eastAsia="方正小标宋简体" w:cs="方正小标宋简体"/>
          <w:kern w:val="2"/>
          <w:sz w:val="44"/>
          <w:szCs w:val="44"/>
          <w:lang w:val="en-US" w:eastAsia="zh-CN" w:bidi="ar"/>
        </w:rPr>
      </w:pPr>
    </w:p>
    <w:p w14:paraId="6B644854">
      <w:pPr>
        <w:keepNext w:val="0"/>
        <w:keepLines w:val="0"/>
        <w:widowControl w:val="0"/>
        <w:suppressLineNumbers w:val="0"/>
        <w:autoSpaceDE w:val="0"/>
        <w:autoSpaceDN/>
        <w:spacing w:before="0" w:beforeAutospacing="0" w:after="0" w:afterAutospacing="0" w:line="540" w:lineRule="exact"/>
        <w:ind w:left="0" w:leftChars="0" w:right="0"/>
        <w:jc w:val="center"/>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kern w:val="2"/>
          <w:sz w:val="44"/>
          <w:szCs w:val="44"/>
          <w:lang w:val="en-US" w:eastAsia="zh-CN" w:bidi="ar"/>
        </w:rPr>
        <w:t>2026年度温州市哲学社会科学规划课题</w:t>
      </w:r>
    </w:p>
    <w:p w14:paraId="5328BED5">
      <w:pPr>
        <w:keepNext w:val="0"/>
        <w:keepLines w:val="0"/>
        <w:widowControl w:val="0"/>
        <w:suppressLineNumbers w:val="0"/>
        <w:autoSpaceDE w:val="0"/>
        <w:autoSpaceDN/>
        <w:spacing w:before="0" w:beforeAutospacing="0" w:after="0" w:afterAutospacing="0" w:line="540" w:lineRule="exact"/>
        <w:ind w:left="0" w:leftChars="0" w:right="0"/>
        <w:jc w:val="center"/>
        <w:rPr>
          <w:rFonts w:hint="eastAsia" w:ascii="方正小标宋简体" w:hAnsi="方正小标宋简体" w:eastAsia="方正小标宋简体" w:cs="方正小标宋简体"/>
          <w:kern w:val="2"/>
          <w:sz w:val="44"/>
          <w:szCs w:val="44"/>
          <w:highlight w:val="yellow"/>
          <w:lang w:val="en-US" w:eastAsia="zh-CN" w:bidi="ar"/>
        </w:rPr>
      </w:pPr>
      <w:r>
        <w:rPr>
          <w:rFonts w:hint="eastAsia" w:ascii="方正小标宋简体" w:hAnsi="方正小标宋简体" w:eastAsia="方正小标宋简体" w:cs="方正小标宋简体"/>
          <w:kern w:val="2"/>
          <w:sz w:val="44"/>
          <w:szCs w:val="44"/>
          <w:lang w:val="en-US" w:eastAsia="zh-CN" w:bidi="ar"/>
        </w:rPr>
        <w:t>申报指南</w:t>
      </w:r>
      <w:bookmarkEnd w:id="0"/>
    </w:p>
    <w:p w14:paraId="2468991D">
      <w:pPr>
        <w:keepNext w:val="0"/>
        <w:keepLines w:val="0"/>
        <w:widowControl w:val="0"/>
        <w:numPr>
          <w:ilvl w:val="0"/>
          <w:numId w:val="0"/>
        </w:numPr>
        <w:suppressLineNumbers w:val="0"/>
        <w:autoSpaceDE w:val="0"/>
        <w:autoSpaceDN/>
        <w:spacing w:before="0" w:beforeAutospacing="0" w:after="0" w:afterAutospacing="0" w:line="520" w:lineRule="exact"/>
        <w:ind w:leftChars="0" w:right="0" w:rightChars="0"/>
        <w:jc w:val="both"/>
        <w:rPr>
          <w:rFonts w:hint="eastAsia" w:ascii="仿宋_GB2312" w:eastAsia="仿宋_GB2312" w:cs="仿宋_GB2312"/>
          <w:spacing w:val="0"/>
          <w:kern w:val="2"/>
          <w:sz w:val="32"/>
          <w:szCs w:val="32"/>
        </w:rPr>
      </w:pPr>
    </w:p>
    <w:p w14:paraId="66AEABD3">
      <w:pPr>
        <w:numPr>
          <w:ilvl w:val="0"/>
          <w:numId w:val="1"/>
        </w:num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中国特色社会主义</w:t>
      </w:r>
      <w:r>
        <w:rPr>
          <w:rFonts w:hint="eastAsia" w:ascii="仿宋_GB2312" w:hAnsi="仿宋_GB2312" w:eastAsia="仿宋_GB2312" w:cs="仿宋_GB2312"/>
          <w:sz w:val="32"/>
          <w:szCs w:val="32"/>
        </w:rPr>
        <w:t>思想在温州的实践研究</w:t>
      </w:r>
    </w:p>
    <w:p w14:paraId="1B48B7F4">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树立和践行正确政绩观的温州探索与实践</w:t>
      </w:r>
      <w:r>
        <w:rPr>
          <w:rFonts w:hint="eastAsia" w:ascii="仿宋_GB2312" w:hAnsi="仿宋_GB2312" w:eastAsia="仿宋_GB2312" w:cs="仿宋_GB2312"/>
          <w:sz w:val="32"/>
          <w:szCs w:val="32"/>
          <w:lang w:eastAsia="zh-CN"/>
        </w:rPr>
        <w:t>研究</w:t>
      </w:r>
    </w:p>
    <w:p w14:paraId="497079B1">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“四千精神”的时代价值与传承弘扬研究</w:t>
      </w:r>
    </w:p>
    <w:p w14:paraId="08C3EC45">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温州打造全国OPC创业高地建设路径研究</w:t>
      </w:r>
    </w:p>
    <w:p w14:paraId="5AA3509F">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温州民营经济出海路径研究</w:t>
      </w:r>
    </w:p>
    <w:p w14:paraId="78CA3323">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温州国有资产盘活路径研究</w:t>
      </w:r>
    </w:p>
    <w:p w14:paraId="5F5E6E5B">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温州资源要素政策研究</w:t>
      </w:r>
    </w:p>
    <w:p w14:paraId="55AC2CB8">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温州建设国际消费中心城市的路径与对策研究</w:t>
      </w:r>
    </w:p>
    <w:p w14:paraId="1751033C">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温州“1010”促消费举措的实效评估与优化研究</w:t>
      </w:r>
    </w:p>
    <w:p w14:paraId="28042716">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平台经济赋能温州传统产业转型升级的机制研究</w:t>
      </w:r>
    </w:p>
    <w:p w14:paraId="08BA2405">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温州专业市场转型提升与集采分销平台建设研究</w:t>
      </w:r>
    </w:p>
    <w:p w14:paraId="56D4A4F2">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温州“两新”政策（设备更新/以旧换新）的消费拉动效应研究</w:t>
      </w:r>
    </w:p>
    <w:p w14:paraId="09AB8DF9">
      <w:pPr>
        <w:numPr>
          <w:ilvl w:val="0"/>
          <w:numId w:val="1"/>
        </w:numPr>
        <w:ind w:left="0" w:leftChars="0" w:firstLine="616" w:firstLineChars="20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温州演艺经济、赛事经济与文旅消费融合发展的路径研究</w:t>
      </w:r>
    </w:p>
    <w:p w14:paraId="0555AF17">
      <w:pPr>
        <w:numPr>
          <w:ilvl w:val="0"/>
          <w:numId w:val="1"/>
        </w:numPr>
        <w:ind w:left="0" w:leftChars="0" w:firstLine="616" w:firstLineChars="20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温州打造全国新能源产能中心和应用示范城市研究</w:t>
      </w:r>
    </w:p>
    <w:p w14:paraId="169B59B9">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推动温州金融高质量发展研究</w:t>
      </w:r>
    </w:p>
    <w:p w14:paraId="160FDAB4">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温州“54321”现代产业集群梯队的培育路径研究</w:t>
      </w:r>
    </w:p>
    <w:p w14:paraId="5CC7AD4A">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温州新兴产业集群化发展研究</w:t>
      </w:r>
    </w:p>
    <w:p w14:paraId="79016F73">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温州未来产业前瞻布局研究</w:t>
      </w:r>
    </w:p>
    <w:p w14:paraId="7C7826D9">
      <w:pPr>
        <w:numPr>
          <w:ilvl w:val="0"/>
          <w:numId w:val="1"/>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温州“专精特新”企业培育与产业链韧性提升研究</w:t>
      </w:r>
    </w:p>
    <w:p w14:paraId="1063E42F">
      <w:pPr>
        <w:numPr>
          <w:ilvl w:val="0"/>
          <w:numId w:val="1"/>
        </w:numPr>
        <w:ind w:left="0" w:leftChars="0" w:firstLine="616" w:firstLineChars="20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国家中小企业数字化转型试点城市建设的温州实践研究</w:t>
      </w:r>
    </w:p>
    <w:p w14:paraId="6C561317">
      <w:pPr>
        <w:numPr>
          <w:ilvl w:val="0"/>
          <w:numId w:val="1"/>
        </w:numPr>
        <w:ind w:left="0" w:leftChars="0" w:firstLine="616" w:firstLineChars="20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温州“一港五谷”创新平台能级提升与辐射带动作用研究</w:t>
      </w:r>
    </w:p>
    <w:p w14:paraId="641E9FC4">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hAnsi="仿宋_GB2312" w:eastAsia="仿宋_GB2312" w:cs="仿宋_GB2312"/>
          <w:sz w:val="32"/>
          <w:szCs w:val="32"/>
          <w:lang w:val="en-US" w:eastAsia="zh-CN"/>
        </w:rPr>
        <w:t>温州教科人一体化改革与高等教育攀峰提质行动研究</w:t>
      </w:r>
    </w:p>
    <w:p w14:paraId="3CD8993D">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温州人才集聚效应与“百万人才聚温州”长效机制研究</w:t>
      </w:r>
    </w:p>
    <w:p w14:paraId="79D1CF86">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lang w:eastAsia="zh-CN"/>
        </w:rPr>
        <w:t>温州</w:t>
      </w:r>
      <w:r>
        <w:rPr>
          <w:rFonts w:hint="eastAsia" w:ascii="仿宋_GB2312" w:eastAsia="仿宋_GB2312" w:cs="仿宋_GB2312"/>
          <w:spacing w:val="0"/>
          <w:kern w:val="2"/>
          <w:sz w:val="32"/>
          <w:szCs w:val="32"/>
          <w:highlight w:val="none"/>
        </w:rPr>
        <w:t>科技金融支持科技型企业发展路径研究</w:t>
      </w:r>
      <w:r>
        <w:rPr>
          <w:rFonts w:hint="eastAsia" w:ascii="仿宋_GB2312" w:eastAsia="仿宋_GB2312" w:cs="仿宋_GB2312"/>
          <w:spacing w:val="0"/>
          <w:kern w:val="2"/>
          <w:sz w:val="32"/>
          <w:szCs w:val="32"/>
          <w:highlight w:val="none"/>
        </w:rPr>
        <w:tab/>
      </w:r>
    </w:p>
    <w:p w14:paraId="4F1E2654">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温州促进人口高质量发展及健全人口发展服务体系举措研究</w:t>
      </w:r>
    </w:p>
    <w:p w14:paraId="093DC7AF">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温州高能级科创平台提能造峰及争创国字号科创平台路径研究</w:t>
      </w:r>
    </w:p>
    <w:p w14:paraId="53EDACB6">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温州要素市场化配置综合改革的标志性成果研究</w:t>
      </w:r>
    </w:p>
    <w:p w14:paraId="77DE3D4F">
      <w:pPr>
        <w:numPr>
          <w:ilvl w:val="0"/>
          <w:numId w:val="1"/>
        </w:numPr>
        <w:ind w:left="0" w:leftChars="0" w:firstLine="616" w:firstLineChars="200"/>
        <w:jc w:val="both"/>
        <w:rPr>
          <w:rFonts w:hint="eastAsia" w:ascii="仿宋_GB2312" w:eastAsia="仿宋_GB2312" w:cs="仿宋_GB2312"/>
          <w:spacing w:val="-6"/>
          <w:kern w:val="2"/>
          <w:sz w:val="32"/>
          <w:szCs w:val="32"/>
          <w:highlight w:val="none"/>
        </w:rPr>
      </w:pPr>
      <w:r>
        <w:rPr>
          <w:rFonts w:hint="eastAsia" w:ascii="仿宋_GB2312" w:eastAsia="仿宋_GB2312" w:cs="仿宋_GB2312"/>
          <w:spacing w:val="-6"/>
          <w:kern w:val="2"/>
          <w:sz w:val="32"/>
          <w:szCs w:val="32"/>
          <w:highlight w:val="none"/>
        </w:rPr>
        <w:t>温州“两个健康”集成改革与“温暖营商”品牌塑造研究</w:t>
      </w:r>
    </w:p>
    <w:p w14:paraId="63C9238B">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温州打造高能级开放强市与金丽温开放大通道能级提升研究</w:t>
      </w:r>
    </w:p>
    <w:p w14:paraId="6C58E11D">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温州跨境电商综试区建设与外贸新业态培育研究</w:t>
      </w:r>
    </w:p>
    <w:p w14:paraId="290A6940">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温州“温货温运”本土化战略与港口枢纽功能提升研究</w:t>
      </w:r>
    </w:p>
    <w:p w14:paraId="6E4E9930">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世界温州人网络与“地瓜经济”根茎培育互动机制研究</w:t>
      </w:r>
    </w:p>
    <w:p w14:paraId="78025C83">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温州企业“走出去”综合服务与风险防范体系研究</w:t>
      </w:r>
    </w:p>
    <w:p w14:paraId="1DA1A1F4">
      <w:pPr>
        <w:numPr>
          <w:ilvl w:val="0"/>
          <w:numId w:val="1"/>
        </w:numPr>
        <w:ind w:left="0" w:leftChars="0" w:firstLine="616" w:firstLineChars="200"/>
        <w:jc w:val="both"/>
        <w:rPr>
          <w:rFonts w:hint="eastAsia" w:ascii="仿宋_GB2312" w:eastAsia="仿宋_GB2312" w:cs="仿宋_GB2312"/>
          <w:spacing w:val="-6"/>
          <w:kern w:val="2"/>
          <w:sz w:val="32"/>
          <w:szCs w:val="32"/>
          <w:highlight w:val="none"/>
        </w:rPr>
      </w:pPr>
      <w:r>
        <w:rPr>
          <w:rFonts w:hint="eastAsia" w:ascii="仿宋_GB2312" w:eastAsia="仿宋_GB2312" w:cs="仿宋_GB2312"/>
          <w:spacing w:val="-6"/>
          <w:kern w:val="2"/>
          <w:sz w:val="32"/>
          <w:szCs w:val="32"/>
          <w:highlight w:val="none"/>
        </w:rPr>
        <w:t>温州都市圈能级跃升与“全省第三极”核心功能塑造研究</w:t>
      </w:r>
    </w:p>
    <w:p w14:paraId="32006522">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lang w:eastAsia="zh-CN"/>
        </w:rPr>
        <w:t>温州</w:t>
      </w:r>
      <w:r>
        <w:rPr>
          <w:rFonts w:hint="eastAsia" w:ascii="仿宋_GB2312" w:eastAsia="仿宋_GB2312" w:cs="仿宋_GB2312"/>
          <w:spacing w:val="0"/>
          <w:kern w:val="2"/>
          <w:sz w:val="32"/>
          <w:szCs w:val="32"/>
          <w:highlight w:val="none"/>
        </w:rPr>
        <w:t>“五城三园”建设与中心城区功能布局优化研究</w:t>
      </w:r>
    </w:p>
    <w:p w14:paraId="0128FFB3">
      <w:pPr>
        <w:numPr>
          <w:ilvl w:val="0"/>
          <w:numId w:val="1"/>
        </w:numPr>
        <w:ind w:left="0" w:leftChars="0" w:firstLine="596" w:firstLineChars="200"/>
        <w:jc w:val="both"/>
        <w:rPr>
          <w:rFonts w:hint="eastAsia" w:ascii="仿宋_GB2312" w:eastAsia="仿宋_GB2312" w:cs="仿宋_GB2312"/>
          <w:spacing w:val="-11"/>
          <w:kern w:val="2"/>
          <w:sz w:val="32"/>
          <w:szCs w:val="32"/>
          <w:highlight w:val="none"/>
        </w:rPr>
      </w:pPr>
      <w:r>
        <w:rPr>
          <w:rFonts w:hint="eastAsia" w:ascii="仿宋_GB2312" w:eastAsia="仿宋_GB2312" w:cs="仿宋_GB2312"/>
          <w:spacing w:val="-11"/>
          <w:kern w:val="2"/>
          <w:sz w:val="32"/>
          <w:szCs w:val="32"/>
          <w:highlight w:val="none"/>
        </w:rPr>
        <w:t>龙平苍一体化发展中的产业协作与基础设施互联互通研究</w:t>
      </w:r>
    </w:p>
    <w:p w14:paraId="0C8C9AD5">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温州城市更新行动与人居环境品质提升路径研究</w:t>
      </w:r>
    </w:p>
    <w:p w14:paraId="382EAC92">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温州“海洋强市”与沿海产业带高水平建设路径研究</w:t>
      </w:r>
    </w:p>
    <w:p w14:paraId="66DF5B31">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温州提速建设重大交通基础设施路径研究</w:t>
      </w:r>
    </w:p>
    <w:p w14:paraId="41B2C5BB">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温州“共富工坊”助农增收的长效运行机制研究</w:t>
      </w:r>
    </w:p>
    <w:p w14:paraId="660853DF">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温州老年食堂可持续运营与养老服务体系创新研究</w:t>
      </w:r>
    </w:p>
    <w:p w14:paraId="1426B716">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以EOD等创新模式推动温州绿色低碳发展研究</w:t>
      </w:r>
    </w:p>
    <w:p w14:paraId="79D7CCBA">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lang w:eastAsia="zh-CN"/>
        </w:rPr>
        <w:t>温州</w:t>
      </w:r>
      <w:r>
        <w:rPr>
          <w:rFonts w:hint="eastAsia" w:ascii="仿宋_GB2312" w:eastAsia="仿宋_GB2312" w:cs="仿宋_GB2312"/>
          <w:spacing w:val="0"/>
          <w:kern w:val="2"/>
          <w:sz w:val="32"/>
          <w:szCs w:val="32"/>
          <w:highlight w:val="none"/>
        </w:rPr>
        <w:t>重点群体就业帮扶与高质量就业促进研究</w:t>
      </w:r>
    </w:p>
    <w:p w14:paraId="6688A3AF">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“好学温州、教育强市”品牌提升研究</w:t>
      </w:r>
    </w:p>
    <w:p w14:paraId="2076D0A3">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温州打造全国重要区域医疗高地与推进高水平县级医院建设路径研究</w:t>
      </w:r>
    </w:p>
    <w:p w14:paraId="3C33D1A5">
      <w:pPr>
        <w:numPr>
          <w:ilvl w:val="0"/>
          <w:numId w:val="1"/>
        </w:numPr>
        <w:ind w:left="0" w:leftChars="0" w:firstLine="616" w:firstLineChars="200"/>
        <w:jc w:val="both"/>
        <w:rPr>
          <w:rFonts w:hint="eastAsia" w:ascii="仿宋_GB2312" w:eastAsia="仿宋_GB2312" w:cs="仿宋_GB2312"/>
          <w:spacing w:val="-6"/>
          <w:kern w:val="2"/>
          <w:sz w:val="32"/>
          <w:szCs w:val="32"/>
          <w:highlight w:val="none"/>
        </w:rPr>
      </w:pPr>
      <w:r>
        <w:rPr>
          <w:rFonts w:hint="eastAsia" w:ascii="仿宋_GB2312" w:eastAsia="仿宋_GB2312" w:cs="仿宋_GB2312"/>
          <w:spacing w:val="-6"/>
          <w:kern w:val="2"/>
          <w:sz w:val="32"/>
          <w:szCs w:val="32"/>
          <w:highlight w:val="none"/>
        </w:rPr>
        <w:t>温州“海丝名城”品牌塑造与朔门古港遗址活化利用研究</w:t>
      </w:r>
    </w:p>
    <w:p w14:paraId="51D1C973">
      <w:pPr>
        <w:numPr>
          <w:ilvl w:val="0"/>
          <w:numId w:val="1"/>
        </w:numPr>
        <w:ind w:left="0" w:leftChars="0" w:firstLine="596" w:firstLineChars="200"/>
        <w:jc w:val="both"/>
        <w:rPr>
          <w:rFonts w:hint="eastAsia" w:ascii="仿宋_GB2312" w:eastAsia="仿宋_GB2312" w:cs="仿宋_GB2312"/>
          <w:spacing w:val="-11"/>
          <w:kern w:val="2"/>
          <w:sz w:val="32"/>
          <w:szCs w:val="32"/>
          <w:highlight w:val="none"/>
        </w:rPr>
      </w:pPr>
      <w:r>
        <w:rPr>
          <w:rFonts w:hint="eastAsia" w:ascii="仿宋_GB2312" w:eastAsia="仿宋_GB2312" w:cs="仿宋_GB2312"/>
          <w:spacing w:val="-11"/>
          <w:kern w:val="2"/>
          <w:sz w:val="32"/>
          <w:szCs w:val="32"/>
          <w:highlight w:val="none"/>
        </w:rPr>
        <w:t>“戏从温州来”品牌攀峰与“戏曲故里”文化IP打造研究</w:t>
      </w:r>
    </w:p>
    <w:p w14:paraId="41257A1F">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瓯越文化基因激活与“永嘉学派”当代价值转化研究</w:t>
      </w:r>
    </w:p>
    <w:p w14:paraId="17834C02">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温州文旅深度融合与“一张机票游温州”品牌提升研究</w:t>
      </w:r>
    </w:p>
    <w:p w14:paraId="0D3F4CFA">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温州能耗双控向碳排放双控转型的路径与对策研究</w:t>
      </w:r>
    </w:p>
    <w:p w14:paraId="10D9F6B2">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温州“无废城市”建设与全域绿色转型研究</w:t>
      </w:r>
    </w:p>
    <w:p w14:paraId="69AB3E46">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温州基层治理现代化迭代升级研究</w:t>
      </w:r>
    </w:p>
    <w:p w14:paraId="2196E233">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温州安全生产治本攻坚与韧性城市构建研究</w:t>
      </w:r>
    </w:p>
    <w:p w14:paraId="3E917277">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温州创建全国法治政府建设示范市的路径研究</w:t>
      </w:r>
    </w:p>
    <w:p w14:paraId="3FC7B40F">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制度嵌入与专业认同双重视角下的温州特色医务社工发展路径研究</w:t>
      </w:r>
    </w:p>
    <w:p w14:paraId="3344A5FC">
      <w:pPr>
        <w:numPr>
          <w:ilvl w:val="0"/>
          <w:numId w:val="1"/>
        </w:numPr>
        <w:ind w:left="0" w:leftChars="0" w:firstLine="596" w:firstLineChars="200"/>
        <w:jc w:val="both"/>
        <w:rPr>
          <w:rFonts w:hint="eastAsia" w:ascii="仿宋_GB2312" w:eastAsia="仿宋_GB2312" w:cs="仿宋_GB2312"/>
          <w:spacing w:val="-11"/>
          <w:kern w:val="2"/>
          <w:sz w:val="32"/>
          <w:szCs w:val="32"/>
          <w:highlight w:val="none"/>
        </w:rPr>
      </w:pPr>
      <w:r>
        <w:rPr>
          <w:rFonts w:hint="eastAsia" w:ascii="仿宋_GB2312" w:eastAsia="仿宋_GB2312" w:cs="仿宋_GB2312"/>
          <w:spacing w:val="-11"/>
          <w:kern w:val="2"/>
          <w:sz w:val="32"/>
          <w:szCs w:val="32"/>
          <w:highlight w:val="none"/>
        </w:rPr>
        <w:t>党建引领下</w:t>
      </w:r>
      <w:r>
        <w:rPr>
          <w:rFonts w:hint="eastAsia" w:ascii="仿宋_GB2312" w:eastAsia="仿宋_GB2312" w:cs="仿宋_GB2312"/>
          <w:spacing w:val="-11"/>
          <w:kern w:val="2"/>
          <w:sz w:val="32"/>
          <w:szCs w:val="32"/>
          <w:highlight w:val="none"/>
          <w:lang w:eastAsia="zh-CN"/>
        </w:rPr>
        <w:t>温州</w:t>
      </w:r>
      <w:r>
        <w:rPr>
          <w:rFonts w:hint="eastAsia" w:ascii="仿宋_GB2312" w:eastAsia="仿宋_GB2312" w:cs="仿宋_GB2312"/>
          <w:spacing w:val="-11"/>
          <w:kern w:val="2"/>
          <w:sz w:val="32"/>
          <w:szCs w:val="32"/>
          <w:highlight w:val="none"/>
        </w:rPr>
        <w:t>“专业社工+志愿者”融合发展机制与路径研究</w:t>
      </w:r>
    </w:p>
    <w:p w14:paraId="0195F05C">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lang w:eastAsia="zh-CN"/>
        </w:rPr>
        <w:t>温州</w:t>
      </w:r>
      <w:r>
        <w:rPr>
          <w:rFonts w:hint="eastAsia" w:ascii="仿宋_GB2312" w:eastAsia="仿宋_GB2312" w:cs="仿宋_GB2312"/>
          <w:spacing w:val="0"/>
          <w:kern w:val="2"/>
          <w:sz w:val="32"/>
          <w:szCs w:val="32"/>
          <w:highlight w:val="none"/>
        </w:rPr>
        <w:t>新就业群体赋能增效与基层治理深度融合的机制研究</w:t>
      </w:r>
    </w:p>
    <w:p w14:paraId="50C6CA22">
      <w:pPr>
        <w:numPr>
          <w:ilvl w:val="0"/>
          <w:numId w:val="1"/>
        </w:numPr>
        <w:ind w:left="0" w:leftChars="0" w:firstLine="640" w:firstLineChars="200"/>
        <w:jc w:val="both"/>
        <w:rPr>
          <w:rFonts w:hint="eastAsia" w:ascii="仿宋_GB2312" w:eastAsia="仿宋_GB2312" w:cs="仿宋_GB2312"/>
          <w:spacing w:val="0"/>
          <w:kern w:val="2"/>
          <w:sz w:val="32"/>
          <w:szCs w:val="32"/>
          <w:highlight w:val="none"/>
        </w:rPr>
      </w:pPr>
      <w:r>
        <w:rPr>
          <w:rFonts w:hint="eastAsia" w:ascii="仿宋_GB2312" w:eastAsia="仿宋_GB2312" w:cs="仿宋_GB2312"/>
          <w:spacing w:val="0"/>
          <w:kern w:val="2"/>
          <w:sz w:val="32"/>
          <w:szCs w:val="32"/>
          <w:highlight w:val="none"/>
        </w:rPr>
        <w:t>“老幼共融”视角下</w:t>
      </w:r>
      <w:r>
        <w:rPr>
          <w:rFonts w:hint="eastAsia" w:ascii="仿宋_GB2312" w:eastAsia="仿宋_GB2312" w:cs="仿宋_GB2312"/>
          <w:spacing w:val="0"/>
          <w:kern w:val="2"/>
          <w:sz w:val="32"/>
          <w:szCs w:val="32"/>
          <w:highlight w:val="none"/>
          <w:lang w:eastAsia="zh-CN"/>
        </w:rPr>
        <w:t>温州</w:t>
      </w:r>
      <w:r>
        <w:rPr>
          <w:rFonts w:hint="eastAsia" w:ascii="仿宋_GB2312" w:eastAsia="仿宋_GB2312" w:cs="仿宋_GB2312"/>
          <w:spacing w:val="0"/>
          <w:kern w:val="2"/>
          <w:sz w:val="32"/>
          <w:szCs w:val="32"/>
          <w:highlight w:val="none"/>
        </w:rPr>
        <w:t>社区服务资源整合与模式创新研究</w:t>
      </w:r>
    </w:p>
    <w:p w14:paraId="19B66B94">
      <w:pPr>
        <w:numPr>
          <w:ilvl w:val="0"/>
          <w:numId w:val="0"/>
        </w:numPr>
        <w:ind w:leftChars="200"/>
        <w:jc w:val="both"/>
        <w:rPr>
          <w:rFonts w:hint="eastAsia" w:ascii="仿宋_GB2312" w:eastAsia="仿宋_GB2312" w:cs="仿宋_GB2312"/>
          <w:spacing w:val="0"/>
          <w:kern w:val="2"/>
          <w:sz w:val="32"/>
          <w:szCs w:val="32"/>
          <w:highlight w:val="none"/>
        </w:rPr>
      </w:pPr>
    </w:p>
    <w:p w14:paraId="3E8DD633">
      <w:pPr>
        <w:numPr>
          <w:ilvl w:val="0"/>
          <w:numId w:val="0"/>
        </w:numPr>
        <w:ind w:leftChars="200"/>
        <w:jc w:val="both"/>
        <w:rPr>
          <w:rFonts w:hint="eastAsia" w:ascii="仿宋_GB2312" w:eastAsia="仿宋_GB2312" w:cs="仿宋_GB2312"/>
          <w:spacing w:val="0"/>
          <w:kern w:val="2"/>
          <w:sz w:val="32"/>
          <w:szCs w:val="32"/>
          <w:highlight w:val="none"/>
        </w:rPr>
      </w:pPr>
    </w:p>
    <w:p w14:paraId="4F3352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8CE2A57-5D6E-4DC5-9587-24EA3676E309}"/>
  </w:font>
  <w:font w:name="方正小标宋简体">
    <w:panose1 w:val="02000000000000000000"/>
    <w:charset w:val="86"/>
    <w:family w:val="auto"/>
    <w:pitch w:val="default"/>
    <w:sig w:usb0="00000001" w:usb1="08000000" w:usb2="00000000" w:usb3="00000000" w:csb0="00040000" w:csb1="00000000"/>
    <w:embedRegular r:id="rId2" w:fontKey="{33679FAF-8136-46ED-8F90-D92531EA0739}"/>
  </w:font>
  <w:font w:name="仿宋_GB2312">
    <w:altName w:val="仿宋"/>
    <w:panose1 w:val="02010609030101010101"/>
    <w:charset w:val="86"/>
    <w:family w:val="auto"/>
    <w:pitch w:val="default"/>
    <w:sig w:usb0="00000000" w:usb1="00000000" w:usb2="00000000" w:usb3="00000000" w:csb0="00040000" w:csb1="00000000"/>
    <w:embedRegular r:id="rId3" w:fontKey="{96131C3B-345A-4BD9-9B2C-F42DB632686F}"/>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6C34D"/>
    <w:multiLevelType w:val="singleLevel"/>
    <w:tmpl w:val="7BF6C34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13B4E"/>
    <w:rsid w:val="2721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2026-04-13T01:07:00Z</dcterms:created>
  <dc:creator>minisalt</dc:creator>
  <cp:lastModifiedBy>minisalt</cp:lastModifiedBy>
  <dcterms:modified xsi:type="dcterms:W3CDTF">2026-04-13T01:08:33Z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8DF01D6FD63E4FBCAFC4C6376CED5248_11</vt:lpwstr>
  </property>
  <property fmtid="{D5CDD505-2E9C-101B-9397-08002B2CF9AE}" pid="4" name="KSOTemplateDocerSaveRecord">
    <vt:lpwstr>eyJoZGlkIjoiZGQ2YWVjYjhhZDM4ZWMzZDI3NDU1OWI1ODA5MjI3YzgiLCJ1c2VySWQiOiIxMTU4NTIzMjY3In0=</vt:lpwstr>
  </property>
</Properties>
</file>